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520453</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b/>
          <w:sz w:val="24"/>
          <w:szCs w:val="24"/>
          <w:highlight w:val="none"/>
          <w:lang w:eastAsia="zh-CN"/>
        </w:rPr>
        <w:t>Dallas, USA, Nov. 17-21</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general aspects for AI/ML for mobility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general aspects</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145A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2CCDC0B">
            <w:pPr>
              <w:pStyle w:val="5"/>
              <w:numPr>
                <w:ilvl w:val="3"/>
                <w:numId w:val="0"/>
              </w:numPr>
              <w:spacing w:beforeLines="50" w:after="0"/>
              <w:ind w:leftChars="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Issue 1-2-2: Scenarios and sub-use cases</w:t>
            </w:r>
          </w:p>
          <w:p w14:paraId="106BF5BE">
            <w:pPr>
              <w:autoSpaceDE w:val="0"/>
              <w:autoSpaceDN w:val="0"/>
              <w:adjustRightInd w:val="0"/>
              <w:snapToGrid w:val="0"/>
              <w:spacing w:before="120" w:beforeLines="50" w:after="120" w:afterLines="50"/>
              <w:jc w:val="both"/>
              <w:rPr>
                <w:rFonts w:hint="default" w:ascii="Times New Roman" w:hAnsi="Times New Roman" w:cs="Times New Roman"/>
                <w:b/>
                <w:bCs/>
                <w:iCs/>
                <w:color w:val="auto"/>
                <w:sz w:val="20"/>
                <w:szCs w:val="20"/>
                <w:highlight w:val="none"/>
                <w:u w:val="single"/>
                <w:lang w:val="en-GB"/>
              </w:rPr>
            </w:pPr>
            <w:r>
              <w:rPr>
                <w:rFonts w:hint="default" w:ascii="Times New Roman" w:hAnsi="Times New Roman" w:cs="Times New Roman"/>
                <w:b/>
                <w:bCs/>
                <w:iCs/>
                <w:color w:val="auto"/>
                <w:sz w:val="20"/>
                <w:szCs w:val="20"/>
                <w:highlight w:val="none"/>
                <w:u w:val="single"/>
                <w:lang w:val="en-GB" w:eastAsia="zh-CN"/>
              </w:rPr>
              <w:t>Online</w:t>
            </w:r>
            <w:r>
              <w:rPr>
                <w:rFonts w:hint="default" w:ascii="Times New Roman" w:hAnsi="Times New Roman" w:cs="Times New Roman"/>
                <w:b/>
                <w:bCs/>
                <w:iCs/>
                <w:color w:val="auto"/>
                <w:sz w:val="20"/>
                <w:szCs w:val="20"/>
                <w:highlight w:val="none"/>
                <w:u w:val="single"/>
                <w:lang w:val="en-GB"/>
              </w:rPr>
              <w:t xml:space="preserve"> </w:t>
            </w:r>
            <w:r>
              <w:rPr>
                <w:rFonts w:hint="default" w:ascii="Times New Roman" w:hAnsi="Times New Roman" w:cs="Times New Roman"/>
                <w:b/>
                <w:bCs/>
                <w:iCs/>
                <w:color w:val="auto"/>
                <w:sz w:val="20"/>
                <w:szCs w:val="20"/>
                <w:highlight w:val="none"/>
                <w:u w:val="single"/>
                <w:lang w:val="en-GB" w:eastAsia="zh-CN"/>
              </w:rPr>
              <w:t>agreements</w:t>
            </w:r>
            <w:r>
              <w:rPr>
                <w:rFonts w:hint="default" w:ascii="Times New Roman" w:hAnsi="Times New Roman" w:cs="Times New Roman"/>
                <w:b/>
                <w:bCs/>
                <w:iCs/>
                <w:color w:val="auto"/>
                <w:sz w:val="20"/>
                <w:szCs w:val="20"/>
                <w:highlight w:val="none"/>
                <w:u w:val="single"/>
                <w:lang w:val="en-GB"/>
              </w:rPr>
              <w:t xml:space="preserve"> </w:t>
            </w:r>
            <w:r>
              <w:rPr>
                <w:rFonts w:hint="default" w:ascii="Times New Roman" w:hAnsi="Times New Roman" w:cs="Times New Roman"/>
                <w:b/>
                <w:bCs/>
                <w:iCs/>
                <w:color w:val="auto"/>
                <w:sz w:val="20"/>
                <w:szCs w:val="20"/>
                <w:highlight w:val="none"/>
                <w:u w:val="single"/>
                <w:lang w:val="en-GB" w:eastAsia="zh-CN"/>
              </w:rPr>
              <w:t>on</w:t>
            </w:r>
            <w:r>
              <w:rPr>
                <w:rFonts w:hint="default" w:ascii="Times New Roman" w:hAnsi="Times New Roman" w:cs="Times New Roman"/>
                <w:b/>
                <w:bCs/>
                <w:iCs/>
                <w:color w:val="auto"/>
                <w:sz w:val="20"/>
                <w:szCs w:val="20"/>
                <w:highlight w:val="none"/>
                <w:u w:val="single"/>
                <w:lang w:val="en-GB"/>
              </w:rPr>
              <w:t xml:space="preserve"> </w:t>
            </w:r>
            <w:r>
              <w:rPr>
                <w:rFonts w:hint="default" w:ascii="Times New Roman" w:hAnsi="Times New Roman" w:cs="Times New Roman"/>
                <w:b/>
                <w:bCs/>
                <w:iCs/>
                <w:color w:val="auto"/>
                <w:sz w:val="20"/>
                <w:szCs w:val="20"/>
                <w:highlight w:val="none"/>
                <w:u w:val="single"/>
                <w:lang w:val="en-GB" w:eastAsia="zh-CN"/>
              </w:rPr>
              <w:t>Tuesday</w:t>
            </w:r>
            <w:r>
              <w:rPr>
                <w:rFonts w:hint="default" w:ascii="Times New Roman" w:hAnsi="Times New Roman" w:cs="Times New Roman"/>
                <w:b/>
                <w:bCs/>
                <w:iCs/>
                <w:color w:val="auto"/>
                <w:sz w:val="20"/>
                <w:szCs w:val="20"/>
                <w:highlight w:val="none"/>
                <w:u w:val="single"/>
                <w:lang w:val="en-GB"/>
              </w:rPr>
              <w:t xml:space="preserve">: </w:t>
            </w:r>
          </w:p>
          <w:p w14:paraId="18BF4627">
            <w:pPr>
              <w:snapToGrid w:val="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 xml:space="preserve">Agreement: </w:t>
            </w:r>
          </w:p>
          <w:p w14:paraId="7CF30E9F">
            <w:pPr>
              <w:snapToGrid w:val="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 xml:space="preserve">RAN4 to </w:t>
            </w:r>
            <w:r>
              <w:rPr>
                <w:rFonts w:hint="default" w:ascii="Times New Roman" w:hAnsi="Times New Roman" w:eastAsia="等线" w:cs="Times New Roman"/>
                <w:color w:val="auto"/>
                <w:sz w:val="20"/>
                <w:szCs w:val="20"/>
                <w:highlight w:val="none"/>
                <w:u w:val="single"/>
              </w:rPr>
              <w:t>discuss</w:t>
            </w:r>
            <w:r>
              <w:rPr>
                <w:rFonts w:hint="default" w:ascii="Times New Roman" w:hAnsi="Times New Roman" w:eastAsia="等线" w:cs="Times New Roman"/>
                <w:color w:val="auto"/>
                <w:sz w:val="20"/>
                <w:szCs w:val="20"/>
                <w:highlight w:val="none"/>
              </w:rPr>
              <w:t xml:space="preserve"> the potential RRM requirements for </w:t>
            </w:r>
            <w:r>
              <w:rPr>
                <w:rFonts w:hint="default" w:ascii="Times New Roman" w:hAnsi="Times New Roman" w:eastAsia="等线" w:cs="Times New Roman"/>
                <w:color w:val="auto"/>
                <w:sz w:val="20"/>
                <w:szCs w:val="20"/>
                <w:highlight w:val="none"/>
                <w:u w:val="single"/>
              </w:rPr>
              <w:t>cell-level based prediction</w:t>
            </w:r>
            <w:r>
              <w:rPr>
                <w:rFonts w:hint="default" w:ascii="Times New Roman" w:hAnsi="Times New Roman" w:eastAsia="等线" w:cs="Times New Roman"/>
                <w:color w:val="auto"/>
                <w:sz w:val="20"/>
                <w:szCs w:val="20"/>
                <w:highlight w:val="none"/>
              </w:rPr>
              <w:t xml:space="preserve"> for the following scenarios: </w:t>
            </w:r>
          </w:p>
          <w:tbl>
            <w:tblPr>
              <w:tblStyle w:val="10"/>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5"/>
              <w:gridCol w:w="2018"/>
            </w:tblGrid>
            <w:tr w14:paraId="3471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1384DC68">
                  <w:pPr>
                    <w:keepNext/>
                    <w:keepLines/>
                    <w:snapToGrid w:val="0"/>
                    <w:spacing w:after="120"/>
                    <w:jc w:val="center"/>
                    <w:rPr>
                      <w:rFonts w:hint="default" w:ascii="Times New Roman" w:hAnsi="Times New Roman" w:eastAsia="Malgun Gothic" w:cs="Times New Roman"/>
                      <w:b/>
                      <w:bCs/>
                      <w:color w:val="auto"/>
                      <w:sz w:val="20"/>
                      <w:szCs w:val="20"/>
                      <w:highlight w:val="none"/>
                    </w:rPr>
                  </w:pPr>
                  <w:r>
                    <w:rPr>
                      <w:rFonts w:hint="default" w:ascii="Times New Roman" w:hAnsi="Times New Roman" w:eastAsia="Malgun Gothic" w:cs="Times New Roman"/>
                      <w:b/>
                      <w:bCs/>
                      <w:color w:val="auto"/>
                      <w:sz w:val="20"/>
                      <w:szCs w:val="20"/>
                      <w:highlight w:val="none"/>
                    </w:rPr>
                    <w:t>Evaluation scenario</w:t>
                  </w:r>
                </w:p>
              </w:tc>
              <w:tc>
                <w:tcPr>
                  <w:tcW w:w="2018" w:type="dxa"/>
                </w:tcPr>
                <w:p w14:paraId="6B0831F5">
                  <w:pPr>
                    <w:keepNext/>
                    <w:keepLines/>
                    <w:snapToGrid w:val="0"/>
                    <w:spacing w:after="120"/>
                    <w:jc w:val="center"/>
                    <w:rPr>
                      <w:rFonts w:hint="default" w:ascii="Times New Roman" w:hAnsi="Times New Roman" w:eastAsia="Malgun Gothic" w:cs="Times New Roman"/>
                      <w:b/>
                      <w:bCs/>
                      <w:color w:val="auto"/>
                      <w:sz w:val="20"/>
                      <w:szCs w:val="20"/>
                      <w:highlight w:val="none"/>
                    </w:rPr>
                  </w:pPr>
                  <w:r>
                    <w:rPr>
                      <w:rFonts w:hint="default" w:ascii="Times New Roman" w:hAnsi="Times New Roman" w:eastAsia="Malgun Gothic" w:cs="Times New Roman"/>
                      <w:b/>
                      <w:bCs/>
                      <w:color w:val="auto"/>
                      <w:sz w:val="20"/>
                      <w:szCs w:val="20"/>
                      <w:highlight w:val="none"/>
                    </w:rPr>
                    <w:t>Methodology</w:t>
                  </w:r>
                </w:p>
              </w:tc>
            </w:tr>
            <w:tr w14:paraId="019D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00BBE4A9">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FR1 to FR1 intra-frequency temporal domain case A</w:t>
                  </w:r>
                </w:p>
              </w:tc>
              <w:tc>
                <w:tcPr>
                  <w:tcW w:w="2018" w:type="dxa"/>
                </w:tcPr>
                <w:p w14:paraId="433FCCB5">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intra-cell</w:t>
                  </w:r>
                </w:p>
              </w:tc>
            </w:tr>
            <w:tr w14:paraId="6F3C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04F2E719">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FR1 to FR1 intra-frequency temporal domain case B</w:t>
                  </w:r>
                </w:p>
              </w:tc>
              <w:tc>
                <w:tcPr>
                  <w:tcW w:w="2018" w:type="dxa"/>
                </w:tcPr>
                <w:p w14:paraId="75984FD8">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Intra-cell</w:t>
                  </w:r>
                </w:p>
              </w:tc>
            </w:tr>
            <w:tr w14:paraId="768F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6D9CF16A">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 xml:space="preserve">FR1 to FR1 inter-frequency (frequency domain) </w:t>
                  </w:r>
                  <w:r>
                    <w:rPr>
                      <w:rFonts w:hint="default" w:ascii="Times New Roman" w:hAnsi="Times New Roman" w:eastAsia="Malgun Gothic" w:cs="Times New Roman"/>
                      <w:color w:val="auto"/>
                      <w:sz w:val="20"/>
                      <w:szCs w:val="20"/>
                      <w:highlight w:val="none"/>
                      <w:u w:val="single"/>
                    </w:rPr>
                    <w:t>(co-located case)</w:t>
                  </w:r>
                </w:p>
              </w:tc>
              <w:tc>
                <w:tcPr>
                  <w:tcW w:w="2018" w:type="dxa"/>
                </w:tcPr>
                <w:p w14:paraId="38E64FCB">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 xml:space="preserve">Inter-cell </w:t>
                  </w:r>
                </w:p>
              </w:tc>
            </w:tr>
            <w:tr w14:paraId="28CD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08DC4B39">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FR2 to FR2 intra-frequency temporal domain case A</w:t>
                  </w:r>
                </w:p>
              </w:tc>
              <w:tc>
                <w:tcPr>
                  <w:tcW w:w="2018" w:type="dxa"/>
                </w:tcPr>
                <w:p w14:paraId="063E8DAC">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Intra-cell</w:t>
                  </w:r>
                </w:p>
              </w:tc>
            </w:tr>
            <w:tr w14:paraId="354F8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74E489B8">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FR2 to FR2 intra-frequency temporal domain case B</w:t>
                  </w:r>
                </w:p>
              </w:tc>
              <w:tc>
                <w:tcPr>
                  <w:tcW w:w="2018" w:type="dxa"/>
                </w:tcPr>
                <w:p w14:paraId="7E845220">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Intra-cell</w:t>
                  </w:r>
                </w:p>
              </w:tc>
            </w:tr>
          </w:tbl>
          <w:p w14:paraId="45F7DD02">
            <w:pPr>
              <w:snapToGrid w:val="0"/>
              <w:textAlignment w:val="baseline"/>
              <w:rPr>
                <w:rFonts w:hint="default" w:ascii="Times New Roman" w:hAnsi="Times New Roman" w:eastAsia="等线" w:cs="Times New Roman"/>
                <w:color w:val="auto"/>
                <w:sz w:val="20"/>
                <w:szCs w:val="20"/>
                <w:highlight w:val="none"/>
              </w:rPr>
            </w:pPr>
          </w:p>
          <w:p w14:paraId="50E673B0">
            <w:pPr>
              <w:snapToGrid w:val="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 xml:space="preserve">FFS whether to discuss the requirements for the following scenario: </w:t>
            </w:r>
          </w:p>
          <w:tbl>
            <w:tblPr>
              <w:tblStyle w:val="10"/>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5"/>
              <w:gridCol w:w="2018"/>
            </w:tblGrid>
            <w:tr w14:paraId="67BE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33F0F83C">
                  <w:pPr>
                    <w:keepNext/>
                    <w:keepLines/>
                    <w:snapToGrid w:val="0"/>
                    <w:spacing w:after="120"/>
                    <w:jc w:val="center"/>
                    <w:rPr>
                      <w:rFonts w:hint="default" w:ascii="Times New Roman" w:hAnsi="Times New Roman" w:eastAsia="Malgun Gothic" w:cs="Times New Roman"/>
                      <w:b/>
                      <w:bCs/>
                      <w:color w:val="auto"/>
                      <w:sz w:val="20"/>
                      <w:szCs w:val="20"/>
                      <w:highlight w:val="none"/>
                    </w:rPr>
                  </w:pPr>
                  <w:r>
                    <w:rPr>
                      <w:rFonts w:hint="default" w:ascii="Times New Roman" w:hAnsi="Times New Roman" w:eastAsia="Malgun Gothic" w:cs="Times New Roman"/>
                      <w:b/>
                      <w:bCs/>
                      <w:color w:val="auto"/>
                      <w:sz w:val="20"/>
                      <w:szCs w:val="20"/>
                      <w:highlight w:val="none"/>
                    </w:rPr>
                    <w:t>Evaluation scenario</w:t>
                  </w:r>
                </w:p>
              </w:tc>
              <w:tc>
                <w:tcPr>
                  <w:tcW w:w="2018" w:type="dxa"/>
                </w:tcPr>
                <w:p w14:paraId="3E6FF2B5">
                  <w:pPr>
                    <w:keepNext/>
                    <w:keepLines/>
                    <w:snapToGrid w:val="0"/>
                    <w:spacing w:after="120"/>
                    <w:jc w:val="center"/>
                    <w:rPr>
                      <w:rFonts w:hint="default" w:ascii="Times New Roman" w:hAnsi="Times New Roman" w:eastAsia="Malgun Gothic" w:cs="Times New Roman"/>
                      <w:b/>
                      <w:bCs/>
                      <w:color w:val="auto"/>
                      <w:sz w:val="20"/>
                      <w:szCs w:val="20"/>
                      <w:highlight w:val="none"/>
                    </w:rPr>
                  </w:pPr>
                  <w:r>
                    <w:rPr>
                      <w:rFonts w:hint="default" w:ascii="Times New Roman" w:hAnsi="Times New Roman" w:eastAsia="Malgun Gothic" w:cs="Times New Roman"/>
                      <w:b/>
                      <w:bCs/>
                      <w:color w:val="auto"/>
                      <w:sz w:val="20"/>
                      <w:szCs w:val="20"/>
                      <w:highlight w:val="none"/>
                    </w:rPr>
                    <w:t>Methodology</w:t>
                  </w:r>
                </w:p>
              </w:tc>
            </w:tr>
            <w:tr w14:paraId="40C4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14:paraId="22870060">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FR2 to FR2 inter-frequency (frequency domain)</w:t>
                  </w:r>
                  <w:r>
                    <w:rPr>
                      <w:rFonts w:hint="default" w:ascii="Times New Roman" w:hAnsi="Times New Roman" w:eastAsia="Malgun Gothic" w:cs="Times New Roman"/>
                      <w:color w:val="auto"/>
                      <w:sz w:val="20"/>
                      <w:szCs w:val="20"/>
                      <w:highlight w:val="none"/>
                      <w:u w:val="single"/>
                    </w:rPr>
                    <w:t xml:space="preserve"> (co-located case)</w:t>
                  </w:r>
                </w:p>
              </w:tc>
              <w:tc>
                <w:tcPr>
                  <w:tcW w:w="2018" w:type="dxa"/>
                </w:tcPr>
                <w:p w14:paraId="30261A19">
                  <w:pPr>
                    <w:keepNext/>
                    <w:keepLines/>
                    <w:snapToGrid w:val="0"/>
                    <w:spacing w:after="120"/>
                    <w:jc w:val="center"/>
                    <w:rPr>
                      <w:rFonts w:hint="default" w:ascii="Times New Roman" w:hAnsi="Times New Roman" w:eastAsia="Malgun Gothic" w:cs="Times New Roman"/>
                      <w:color w:val="auto"/>
                      <w:sz w:val="20"/>
                      <w:szCs w:val="20"/>
                      <w:highlight w:val="none"/>
                    </w:rPr>
                  </w:pPr>
                  <w:r>
                    <w:rPr>
                      <w:rFonts w:hint="default" w:ascii="Times New Roman" w:hAnsi="Times New Roman" w:eastAsia="Malgun Gothic" w:cs="Times New Roman"/>
                      <w:color w:val="auto"/>
                      <w:sz w:val="20"/>
                      <w:szCs w:val="20"/>
                      <w:highlight w:val="none"/>
                    </w:rPr>
                    <w:t xml:space="preserve">Inter-cell </w:t>
                  </w:r>
                </w:p>
              </w:tc>
            </w:tr>
          </w:tbl>
          <w:p w14:paraId="3B233A12">
            <w:pPr>
              <w:autoSpaceDE w:val="0"/>
              <w:autoSpaceDN w:val="0"/>
              <w:adjustRightInd w:val="0"/>
              <w:snapToGrid w:val="0"/>
              <w:spacing w:before="120" w:beforeLines="50" w:after="0"/>
              <w:jc w:val="both"/>
              <w:rPr>
                <w:rFonts w:hint="default" w:ascii="Times New Roman" w:hAnsi="Times New Roman" w:cs="Times New Roman"/>
                <w:iCs/>
                <w:color w:val="auto"/>
                <w:sz w:val="20"/>
                <w:szCs w:val="20"/>
                <w:highlight w:val="none"/>
                <w:lang w:val="en-GB"/>
              </w:rPr>
            </w:pPr>
          </w:p>
          <w:p w14:paraId="7614D49F">
            <w:pPr>
              <w:snapToGrid w:val="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Agreement:</w:t>
            </w:r>
          </w:p>
          <w:p w14:paraId="182DCFA6">
            <w:pPr>
              <w:numPr>
                <w:ilvl w:val="0"/>
                <w:numId w:val="6"/>
              </w:numPr>
              <w:overflowPunct w:val="0"/>
              <w:autoSpaceDE w:val="0"/>
              <w:autoSpaceDN w:val="0"/>
              <w:adjustRightInd w:val="0"/>
              <w:snapToGrid w:val="0"/>
              <w:spacing w:after="12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Malgun Gothic" w:cs="Times New Roman"/>
                <w:color w:val="auto"/>
                <w:sz w:val="20"/>
                <w:szCs w:val="20"/>
                <w:highlight w:val="none"/>
                <w:lang w:eastAsia="ko-KR"/>
              </w:rPr>
              <w:t>As starting point, evaluate sub-case 2, L3-L3 measurement prediction as baseline for both FR1 and FR2.</w:t>
            </w:r>
          </w:p>
          <w:p w14:paraId="3083DEC2">
            <w:pPr>
              <w:numPr>
                <w:ilvl w:val="1"/>
                <w:numId w:val="6"/>
              </w:numPr>
              <w:overflowPunct w:val="0"/>
              <w:autoSpaceDE w:val="0"/>
              <w:autoSpaceDN w:val="0"/>
              <w:adjustRightInd w:val="0"/>
              <w:spacing w:after="120"/>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Interested companies can also provide results for other sub-cases.</w:t>
            </w:r>
          </w:p>
          <w:p w14:paraId="4E058EF1">
            <w:pPr>
              <w:numPr>
                <w:ilvl w:val="1"/>
                <w:numId w:val="6"/>
              </w:numPr>
              <w:overflowPunct w:val="0"/>
              <w:autoSpaceDE w:val="0"/>
              <w:autoSpaceDN w:val="0"/>
              <w:adjustRightInd w:val="0"/>
              <w:snapToGrid w:val="0"/>
              <w:spacing w:after="12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It is not precluded to add additional sub-case for FR2 in future meetings.</w:t>
            </w:r>
          </w:p>
          <w:p w14:paraId="4649A4EB">
            <w:pPr>
              <w:numPr>
                <w:ilvl w:val="0"/>
                <w:numId w:val="6"/>
              </w:numPr>
              <w:overflowPunct w:val="0"/>
              <w:autoSpaceDE w:val="0"/>
              <w:autoSpaceDN w:val="0"/>
              <w:adjustRightInd w:val="0"/>
              <w:snapToGrid w:val="0"/>
              <w:spacing w:after="12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Further discuss how to define requirements based on the available simulation results.</w:t>
            </w:r>
          </w:p>
          <w:p w14:paraId="655E5522">
            <w:pPr>
              <w:spacing w:after="180" w:line="240" w:lineRule="exact"/>
              <w:rPr>
                <w:rFonts w:hint="default" w:ascii="Times New Roman" w:hAnsi="Times New Roman" w:eastAsia="等线" w:cs="Times New Roman"/>
                <w:bCs/>
                <w:iCs/>
                <w:color w:val="auto"/>
                <w:sz w:val="20"/>
                <w:szCs w:val="20"/>
                <w:highlight w:val="none"/>
                <w:vertAlign w:val="baseline"/>
                <w:lang w:val="en-US" w:eastAsia="zh-CN"/>
              </w:rPr>
            </w:pPr>
          </w:p>
        </w:tc>
      </w:tr>
    </w:tbl>
    <w:p w14:paraId="5B0B885B">
      <w:pPr>
        <w:spacing w:after="180" w:line="240" w:lineRule="exact"/>
        <w:rPr>
          <w:rFonts w:hint="eastAsia" w:ascii="Times New Roman" w:hAnsi="Times New Roman" w:eastAsia="等线"/>
          <w:bCs/>
          <w:iCs/>
          <w:sz w:val="20"/>
          <w:szCs w:val="20"/>
          <w:lang w:val="en-US" w:eastAsia="zh-CN"/>
        </w:rPr>
      </w:pPr>
    </w:p>
    <w:p w14:paraId="6A33E4F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AI/ML for mobility, there are 6 scenarios, scenario 2, 3, 4 are prioritized. Scenario 4 is FR2 intra-frequency temporal domain case A (i.e., prediction of measurements in a prediction window by using historical actual measurements in an observation window). Scenario 2 is FR1 intra-frequency temporal domain case B (similar to case A, but predicted measurement result(s) in previous prediction window are skipped). And scenario 3 is FR1 inter-frequency prediction. The study on temporal domain case A is to verify performance improvement, i.e. how much handover performance can be improved based on predicted measurement results/event in future. The motivation of study on temporal domain case B is about measurement reduction, i.e. whether the degradation of handover performance is acceptable while partial measurement is skipped.  </w:t>
      </w:r>
    </w:p>
    <w:p w14:paraId="4D1E0A3D">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Table 1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eastAsia="zh-CN"/>
        </w:rPr>
        <w:t>valuation scenarios</w:t>
      </w:r>
      <w:r>
        <w:rPr>
          <w:rFonts w:hint="default" w:ascii="Times New Roman" w:hAnsi="Times New Roman" w:cs="Times New Roman"/>
          <w:sz w:val="20"/>
          <w:szCs w:val="20"/>
          <w:lang w:val="en-US" w:eastAsia="zh-CN"/>
        </w:rPr>
        <w:t xml:space="preserve"> for </w:t>
      </w:r>
      <w:r>
        <w:rPr>
          <w:rFonts w:hint="default" w:ascii="Times New Roman" w:hAnsi="Times New Roman" w:eastAsia="等线" w:cs="Times New Roman"/>
          <w:bCs/>
          <w:iCs/>
          <w:sz w:val="20"/>
          <w:szCs w:val="20"/>
          <w:lang w:val="en-US" w:eastAsia="zh-CN"/>
        </w:rPr>
        <w:t>RRM measurement prediction</w:t>
      </w:r>
      <w:r>
        <w:rPr>
          <w:rFonts w:hint="default" w:ascii="Times New Roman" w:hAnsi="Times New Roman" w:cs="Times New Roman"/>
          <w:sz w:val="20"/>
          <w:szCs w:val="20"/>
          <w:lang w:val="en-US" w:eastAsia="zh-CN"/>
        </w:rPr>
        <w:t xml:space="preserve"> </w:t>
      </w:r>
    </w:p>
    <w:tbl>
      <w:tblPr>
        <w:tblStyle w:val="11"/>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283"/>
        <w:gridCol w:w="3801"/>
        <w:gridCol w:w="1268"/>
        <w:gridCol w:w="1294"/>
      </w:tblGrid>
      <w:tr w14:paraId="6D94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18BE560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scenario number</w:t>
            </w:r>
          </w:p>
        </w:tc>
        <w:tc>
          <w:tcPr>
            <w:tcW w:w="1283" w:type="dxa"/>
            <w:noWrap w:val="0"/>
            <w:vAlign w:val="top"/>
          </w:tcPr>
          <w:p w14:paraId="353FC129">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 xml:space="preserve">Priority </w:t>
            </w:r>
          </w:p>
        </w:tc>
        <w:tc>
          <w:tcPr>
            <w:tcW w:w="3801" w:type="dxa"/>
            <w:noWrap w:val="0"/>
            <w:vAlign w:val="top"/>
          </w:tcPr>
          <w:p w14:paraId="370B24B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Evaluation scenario</w:t>
            </w:r>
          </w:p>
        </w:tc>
        <w:tc>
          <w:tcPr>
            <w:tcW w:w="1268" w:type="dxa"/>
            <w:noWrap w:val="0"/>
            <w:vAlign w:val="top"/>
          </w:tcPr>
          <w:p w14:paraId="6D7D165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Target study goal</w:t>
            </w:r>
          </w:p>
        </w:tc>
        <w:tc>
          <w:tcPr>
            <w:tcW w:w="1294" w:type="dxa"/>
            <w:noWrap w:val="0"/>
            <w:vAlign w:val="top"/>
          </w:tcPr>
          <w:p w14:paraId="3EBD512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Methodology</w:t>
            </w:r>
          </w:p>
        </w:tc>
      </w:tr>
      <w:tr w14:paraId="23F35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1DD76A7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83" w:type="dxa"/>
            <w:noWrap w:val="0"/>
            <w:vAlign w:val="top"/>
          </w:tcPr>
          <w:p w14:paraId="64A9303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801" w:type="dxa"/>
            <w:noWrap w:val="0"/>
            <w:vAlign w:val="top"/>
          </w:tcPr>
          <w:p w14:paraId="2A6245D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A</w:t>
            </w:r>
          </w:p>
        </w:tc>
        <w:tc>
          <w:tcPr>
            <w:tcW w:w="1268" w:type="dxa"/>
            <w:noWrap w:val="0"/>
            <w:vAlign w:val="top"/>
          </w:tcPr>
          <w:p w14:paraId="099A4C4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294" w:type="dxa"/>
            <w:noWrap w:val="0"/>
            <w:vAlign w:val="top"/>
          </w:tcPr>
          <w:p w14:paraId="02AB4E3F">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6AE75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4AFF805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83" w:type="dxa"/>
            <w:noWrap w:val="0"/>
            <w:vAlign w:val="top"/>
          </w:tcPr>
          <w:p w14:paraId="4CDD7D3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340EDA1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B</w:t>
            </w:r>
          </w:p>
        </w:tc>
        <w:tc>
          <w:tcPr>
            <w:tcW w:w="1268" w:type="dxa"/>
            <w:noWrap w:val="0"/>
            <w:vAlign w:val="top"/>
          </w:tcPr>
          <w:p w14:paraId="4C8EADA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1593C97F">
            <w:pPr>
              <w:spacing w:before="120" w:beforeLines="50"/>
              <w:rPr>
                <w:rFonts w:hint="default" w:ascii="Times New Roman" w:hAnsi="Times New Roman" w:cs="Times New Roman"/>
                <w:sz w:val="20"/>
                <w:szCs w:val="20"/>
                <w:vertAlign w:val="superscript"/>
              </w:rPr>
            </w:pPr>
            <w:r>
              <w:rPr>
                <w:rFonts w:hint="default" w:ascii="Times New Roman" w:hAnsi="Times New Roman" w:cs="Times New Roman"/>
                <w:sz w:val="20"/>
                <w:szCs w:val="20"/>
              </w:rPr>
              <w:t>Intra-cell</w:t>
            </w:r>
          </w:p>
        </w:tc>
      </w:tr>
      <w:tr w14:paraId="6961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2C16A12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283" w:type="dxa"/>
            <w:noWrap w:val="0"/>
            <w:vAlign w:val="top"/>
          </w:tcPr>
          <w:p w14:paraId="6FED213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381815FA">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inter-frequency (frequency domain)</w:t>
            </w:r>
          </w:p>
        </w:tc>
        <w:tc>
          <w:tcPr>
            <w:tcW w:w="1268" w:type="dxa"/>
            <w:noWrap w:val="0"/>
            <w:vAlign w:val="top"/>
          </w:tcPr>
          <w:p w14:paraId="6B12F6A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0C9EE73B">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 xml:space="preserve">Inter-cell </w:t>
            </w:r>
          </w:p>
        </w:tc>
      </w:tr>
      <w:tr w14:paraId="06F8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6D2B0696">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283" w:type="dxa"/>
            <w:noWrap w:val="0"/>
            <w:vAlign w:val="top"/>
          </w:tcPr>
          <w:p w14:paraId="54D5FA1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7CBE9D8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A</w:t>
            </w:r>
          </w:p>
        </w:tc>
        <w:tc>
          <w:tcPr>
            <w:tcW w:w="1268" w:type="dxa"/>
            <w:noWrap w:val="0"/>
            <w:vAlign w:val="top"/>
          </w:tcPr>
          <w:p w14:paraId="46A59E75">
            <w:pPr>
              <w:spacing w:before="120" w:beforeLines="50"/>
              <w:rPr>
                <w:rFonts w:hint="default" w:ascii="Times New Roman" w:hAnsi="Times New Roman" w:cs="Times New Roman"/>
                <w:sz w:val="20"/>
                <w:szCs w:val="20"/>
                <w:highlight w:val="yellow"/>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294" w:type="dxa"/>
            <w:noWrap w:val="0"/>
            <w:vAlign w:val="top"/>
          </w:tcPr>
          <w:p w14:paraId="6F839BA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Intra-cell</w:t>
            </w:r>
          </w:p>
        </w:tc>
      </w:tr>
      <w:tr w14:paraId="0ED4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285A557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283" w:type="dxa"/>
            <w:noWrap w:val="0"/>
            <w:vAlign w:val="top"/>
          </w:tcPr>
          <w:p w14:paraId="2C4977B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801" w:type="dxa"/>
            <w:noWrap w:val="0"/>
            <w:vAlign w:val="top"/>
          </w:tcPr>
          <w:p w14:paraId="0C9CABA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B</w:t>
            </w:r>
          </w:p>
        </w:tc>
        <w:tc>
          <w:tcPr>
            <w:tcW w:w="1268" w:type="dxa"/>
            <w:noWrap w:val="0"/>
            <w:vAlign w:val="top"/>
          </w:tcPr>
          <w:p w14:paraId="53FBC05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7D355D6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624C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0FFACE0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6</w:t>
            </w:r>
          </w:p>
        </w:tc>
        <w:tc>
          <w:tcPr>
            <w:tcW w:w="1283" w:type="dxa"/>
            <w:noWrap w:val="0"/>
            <w:vAlign w:val="top"/>
          </w:tcPr>
          <w:p w14:paraId="4CFD338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Middle</w:t>
            </w:r>
          </w:p>
        </w:tc>
        <w:tc>
          <w:tcPr>
            <w:tcW w:w="3801" w:type="dxa"/>
            <w:noWrap w:val="0"/>
            <w:vAlign w:val="top"/>
          </w:tcPr>
          <w:p w14:paraId="1E3A1A3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spatial domain</w:t>
            </w:r>
          </w:p>
        </w:tc>
        <w:tc>
          <w:tcPr>
            <w:tcW w:w="1268" w:type="dxa"/>
            <w:noWrap w:val="0"/>
            <w:vAlign w:val="top"/>
          </w:tcPr>
          <w:p w14:paraId="0DF7EF13">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2BB3B4D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Intra-cell</w:t>
            </w:r>
          </w:p>
        </w:tc>
      </w:tr>
    </w:tbl>
    <w:p w14:paraId="3CA8BDFF">
      <w:pPr>
        <w:spacing w:after="180" w:line="240" w:lineRule="exact"/>
        <w:rPr>
          <w:rFonts w:hint="eastAsia" w:ascii="Times New Roman" w:hAnsi="Times New Roman" w:eastAsia="等线"/>
          <w:bCs/>
          <w:iCs/>
          <w:sz w:val="20"/>
          <w:szCs w:val="20"/>
          <w:lang w:val="en-US" w:eastAsia="zh-CN"/>
        </w:rPr>
      </w:pPr>
    </w:p>
    <w:p w14:paraId="75F0D01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During study phase, there is discussion on whether to consider other spatial domain prediction. The conclusion, is that except scenario 2, 3, 4, discussion on other scenarios are not precluded in work item.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9E8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2450822">
            <w:pPr>
              <w:snapToGrid w:val="0"/>
              <w:spacing w:after="120"/>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TR 38.744 section 6.2.1</w:t>
            </w:r>
          </w:p>
          <w:p w14:paraId="133A7336">
            <w:pPr>
              <w:snapToGrid w:val="0"/>
              <w:spacing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lang w:val="en-US" w:eastAsia="zh-CN"/>
              </w:rPr>
              <w:t xml:space="preserve">impact on </w:t>
            </w:r>
            <w:r>
              <w:rPr>
                <w:rFonts w:hint="default" w:ascii="Times New Roman" w:hAnsi="Times New Roman" w:cs="Times New Roman"/>
                <w:bCs/>
                <w:sz w:val="20"/>
                <w:szCs w:val="20"/>
                <w:lang w:eastAsia="zh-CN"/>
              </w:rPr>
              <w:t xml:space="preserve">RRM </w:t>
            </w:r>
            <w:r>
              <w:rPr>
                <w:rFonts w:hint="default" w:ascii="Times New Roman" w:hAnsi="Times New Roman" w:cs="Times New Roman"/>
                <w:bCs/>
                <w:sz w:val="20"/>
                <w:szCs w:val="20"/>
              </w:rPr>
              <w:t>requirements</w:t>
            </w:r>
            <w:r>
              <w:rPr>
                <w:rFonts w:hint="default" w:ascii="Times New Roman" w:hAnsi="Times New Roman" w:cs="Times New Roman"/>
                <w:bCs/>
                <w:sz w:val="20"/>
                <w:szCs w:val="20"/>
                <w:lang w:eastAsia="zh-CN"/>
              </w:rPr>
              <w:t xml:space="preserve"> for </w:t>
            </w:r>
            <w:r>
              <w:rPr>
                <w:rFonts w:hint="default" w:ascii="Times New Roman" w:hAnsi="Times New Roman" w:cs="Times New Roman"/>
                <w:sz w:val="20"/>
                <w:szCs w:val="20"/>
              </w:rPr>
              <w:t>L3 cell-level</w:t>
            </w:r>
            <w:r>
              <w:rPr>
                <w:rFonts w:hint="default" w:ascii="Times New Roman" w:hAnsi="Times New Roman" w:cs="Times New Roman"/>
                <w:sz w:val="20"/>
                <w:szCs w:val="20"/>
                <w:lang w:eastAsia="zh-CN"/>
              </w:rPr>
              <w:t xml:space="preserve"> RSRP</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xml:space="preserve">i.e., </w:t>
            </w:r>
            <w:r>
              <w:rPr>
                <w:rFonts w:hint="default" w:ascii="Times New Roman" w:hAnsi="Times New Roman" w:cs="Times New Roman"/>
                <w:sz w:val="20"/>
                <w:szCs w:val="20"/>
              </w:rPr>
              <w:t xml:space="preserve">Point C as defined in Figure 9.2.4-1 in TS 38.300) measurement prediction has been studied for </w:t>
            </w:r>
            <w:r>
              <w:rPr>
                <w:rFonts w:hint="default" w:ascii="Times New Roman" w:hAnsi="Times New Roman" w:cs="Times New Roman"/>
                <w:sz w:val="20"/>
                <w:szCs w:val="20"/>
                <w:lang w:eastAsia="zh-CN"/>
              </w:rPr>
              <w:t>scenarios 2,</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3,</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eastAsia="zh-CN"/>
              </w:rPr>
              <w:t xml:space="preserve">4 as defined in Table 5.2.1.1-1 and </w:t>
            </w:r>
            <w:r>
              <w:rPr>
                <w:rFonts w:hint="default" w:ascii="Times New Roman" w:hAnsi="Times New Roman" w:cs="Times New Roman"/>
                <w:sz w:val="20"/>
                <w:szCs w:val="20"/>
                <w:lang w:val="en-US" w:eastAsia="zh-CN"/>
              </w:rPr>
              <w:t xml:space="preserve">the </w:t>
            </w:r>
            <w:r>
              <w:rPr>
                <w:rFonts w:hint="default" w:ascii="Times New Roman" w:hAnsi="Times New Roman" w:cs="Times New Roman"/>
                <w:sz w:val="20"/>
                <w:szCs w:val="20"/>
                <w:lang w:eastAsia="zh-CN"/>
              </w:rPr>
              <w:t>sub-use cases 1,</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eastAsia="zh-CN"/>
              </w:rPr>
              <w:t>3 as defined in section 4.2</w:t>
            </w:r>
            <w:r>
              <w:rPr>
                <w:rFonts w:hint="default" w:ascii="Times New Roman" w:hAnsi="Times New Roman" w:cs="Times New Roman"/>
                <w:sz w:val="20"/>
                <w:szCs w:val="20"/>
                <w:lang w:val="en-US" w:eastAsia="zh-CN"/>
              </w:rPr>
              <w:t xml:space="preserve">. </w:t>
            </w:r>
          </w:p>
          <w:p w14:paraId="446295B1">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Editor Note: The impact of L3 beam level (Point E </w:t>
            </w:r>
            <w:r>
              <w:rPr>
                <w:rFonts w:hint="default" w:ascii="Times New Roman" w:hAnsi="Times New Roman" w:cs="Times New Roman"/>
                <w:sz w:val="20"/>
                <w:szCs w:val="20"/>
              </w:rPr>
              <w:t>as defined in Figure 9.2.4-1 in TS 38.300</w:t>
            </w:r>
            <w:r>
              <w:rPr>
                <w:rFonts w:hint="default" w:ascii="Times New Roman" w:hAnsi="Times New Roman" w:cs="Times New Roman"/>
                <w:sz w:val="20"/>
                <w:szCs w:val="20"/>
                <w:lang w:val="en-US" w:eastAsia="zh-CN"/>
              </w:rPr>
              <w:t xml:space="preserve">) measurement prediction has not been studied. However, it doesn’t preclude the discussion on L3 beam level measurement prediction in the work item phase. </w:t>
            </w:r>
          </w:p>
          <w:p w14:paraId="06EF1EB7">
            <w:pPr>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b/>
                <w:bCs/>
                <w:sz w:val="20"/>
                <w:szCs w:val="20"/>
                <w:lang w:val="en-US" w:eastAsia="zh-CN"/>
              </w:rPr>
              <w:t xml:space="preserve">Editor Note: From RAN4 perspective, it is not precluded that other scenarios in Table </w:t>
            </w:r>
            <w:r>
              <w:rPr>
                <w:rFonts w:hint="default" w:ascii="Times New Roman" w:hAnsi="Times New Roman" w:cs="Times New Roman"/>
                <w:b/>
                <w:bCs/>
                <w:sz w:val="20"/>
                <w:szCs w:val="20"/>
                <w:lang w:eastAsia="zh-CN"/>
              </w:rPr>
              <w:t xml:space="preserve">5.2.1.1-1 </w:t>
            </w:r>
            <w:r>
              <w:rPr>
                <w:rFonts w:hint="default" w:ascii="Times New Roman" w:hAnsi="Times New Roman" w:cs="Times New Roman"/>
                <w:b/>
                <w:bCs/>
                <w:sz w:val="20"/>
                <w:szCs w:val="20"/>
                <w:lang w:val="en-US" w:eastAsia="zh-CN"/>
              </w:rPr>
              <w:t xml:space="preserve">will be discussed in work item. </w:t>
            </w:r>
          </w:p>
        </w:tc>
      </w:tr>
    </w:tbl>
    <w:p w14:paraId="2688C2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p>
    <w:p w14:paraId="784802A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the WID [2], temporal domain prediction case A, temporal domain prediction case B, and frequency domain prediction for co-located cases are considered. For RAN4 work, we can follow the WID and focus on these three scenarios. In last meeting, it was agreed to consider FR1 to FR1 intra-frequency temporal domain case A, FR1 to FR1 intra-frequency temporal domain case B, FR2 to FR2 intra-frequency temporal domain case A, FR2 to FR2 intra-frequency temporal domain case B, FR1 to FR1 inter-frequency (frequency domain) (co-located case). The open issues is whether to consider FR2 to FR2 inter-frequency (frequency domain) (co-located case). In our view, FR2 to FR2 inter-frequency (frequency domain) (co-located case) is not considered in Rel-19, and the performance is not evaluated in RAN2. It is proposed not to consider FR2 case, and focus on FR1 for frequency domain prediction.</w:t>
      </w:r>
    </w:p>
    <w:p w14:paraId="73435D5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
          <w:bCs w:val="0"/>
          <w:i/>
          <w:iCs w:val="0"/>
          <w:sz w:val="20"/>
          <w:szCs w:val="20"/>
          <w:highlight w:val="none"/>
          <w:u w:val="none"/>
          <w:lang w:val="en-US" w:eastAsia="zh-CN"/>
        </w:rPr>
      </w:pPr>
      <w:r>
        <w:rPr>
          <w:rFonts w:hint="default" w:ascii="Times New Roman" w:hAnsi="Times New Roman" w:eastAsia="等线" w:cs="Times New Roman"/>
          <w:b/>
          <w:bCs w:val="0"/>
          <w:i/>
          <w:iCs w:val="0"/>
          <w:sz w:val="20"/>
          <w:szCs w:val="20"/>
          <w:highlight w:val="none"/>
          <w:u w:val="none"/>
          <w:lang w:val="en-US" w:eastAsia="zh-CN"/>
        </w:rPr>
        <w:t>Proposal 1: for frequency domain prediction, it is proposed that RAN4 focus on F</w:t>
      </w:r>
      <w:r>
        <w:rPr>
          <w:rFonts w:hint="default" w:ascii="Times New Roman" w:hAnsi="Times New Roman" w:eastAsia="Malgun Gothic" w:cs="Times New Roman"/>
          <w:b/>
          <w:bCs w:val="0"/>
          <w:i/>
          <w:iCs w:val="0"/>
          <w:sz w:val="20"/>
          <w:szCs w:val="20"/>
          <w:highlight w:val="none"/>
          <w:u w:val="none"/>
        </w:rPr>
        <w:t>R1 to FR1 inter-frequency co-located case</w:t>
      </w:r>
      <w:r>
        <w:rPr>
          <w:rFonts w:hint="default" w:ascii="Times New Roman" w:hAnsi="Times New Roman" w:eastAsia="宋体" w:cs="Times New Roman"/>
          <w:b/>
          <w:bCs w:val="0"/>
          <w:i/>
          <w:iCs w:val="0"/>
          <w:sz w:val="20"/>
          <w:szCs w:val="20"/>
          <w:highlight w:val="none"/>
          <w:u w:val="none"/>
          <w:lang w:val="en-US" w:eastAsia="zh-CN"/>
        </w:rPr>
        <w:t xml:space="preserve">, and not consider </w:t>
      </w:r>
      <w:r>
        <w:rPr>
          <w:rFonts w:hint="default" w:ascii="Times New Roman" w:hAnsi="Times New Roman" w:eastAsia="等线" w:cs="Times New Roman"/>
          <w:b/>
          <w:bCs w:val="0"/>
          <w:i/>
          <w:iCs w:val="0"/>
          <w:sz w:val="20"/>
          <w:szCs w:val="20"/>
          <w:highlight w:val="none"/>
          <w:u w:val="none"/>
          <w:lang w:val="en-US" w:eastAsia="zh-CN"/>
        </w:rPr>
        <w:t>FR2 to FR2 inter-frequency co-located case in Rel-20.</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654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06D4986">
            <w:pPr>
              <w:snapToGrid w:val="0"/>
              <w:textAlignment w:val="baseline"/>
              <w:rPr>
                <w:rFonts w:hint="default" w:ascii="Times New Roman" w:hAnsi="Times New Roman" w:eastAsia="等线" w:cs="Times New Roman"/>
                <w:b/>
                <w:bCs/>
                <w:color w:val="auto"/>
                <w:sz w:val="20"/>
                <w:szCs w:val="20"/>
                <w:highlight w:val="none"/>
              </w:rPr>
            </w:pPr>
            <w:r>
              <w:rPr>
                <w:rFonts w:hint="default" w:ascii="Times New Roman" w:hAnsi="Times New Roman" w:eastAsia="等线" w:cs="Times New Roman"/>
                <w:b/>
                <w:bCs/>
                <w:color w:val="auto"/>
                <w:sz w:val="20"/>
                <w:szCs w:val="20"/>
                <w:highlight w:val="none"/>
              </w:rPr>
              <w:t>Agreement:</w:t>
            </w:r>
          </w:p>
          <w:p w14:paraId="7343DB69">
            <w:pPr>
              <w:numPr>
                <w:ilvl w:val="0"/>
                <w:numId w:val="6"/>
              </w:numPr>
              <w:overflowPunct w:val="0"/>
              <w:autoSpaceDE w:val="0"/>
              <w:autoSpaceDN w:val="0"/>
              <w:adjustRightInd w:val="0"/>
              <w:snapToGrid w:val="0"/>
              <w:spacing w:after="12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Malgun Gothic" w:cs="Times New Roman"/>
                <w:color w:val="auto"/>
                <w:sz w:val="20"/>
                <w:szCs w:val="20"/>
                <w:highlight w:val="none"/>
                <w:lang w:eastAsia="ko-KR"/>
              </w:rPr>
              <w:t>As starting point, evaluate sub-case 2, L3-L3 measurement prediction as baseline for both FR1 and FR2.</w:t>
            </w:r>
          </w:p>
          <w:p w14:paraId="2018A8E3">
            <w:pPr>
              <w:numPr>
                <w:ilvl w:val="1"/>
                <w:numId w:val="6"/>
              </w:numPr>
              <w:overflowPunct w:val="0"/>
              <w:autoSpaceDE w:val="0"/>
              <w:autoSpaceDN w:val="0"/>
              <w:adjustRightInd w:val="0"/>
              <w:spacing w:after="120"/>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Interested companies can also provide results for other sub-cases.</w:t>
            </w:r>
          </w:p>
          <w:p w14:paraId="477616AC">
            <w:pPr>
              <w:numPr>
                <w:ilvl w:val="1"/>
                <w:numId w:val="6"/>
              </w:numPr>
              <w:overflowPunct w:val="0"/>
              <w:autoSpaceDE w:val="0"/>
              <w:autoSpaceDN w:val="0"/>
              <w:adjustRightInd w:val="0"/>
              <w:snapToGrid w:val="0"/>
              <w:spacing w:after="12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It is not precluded to add additional sub-case for FR2 in future meetings.</w:t>
            </w:r>
          </w:p>
          <w:p w14:paraId="1F98BE97">
            <w:pPr>
              <w:numPr>
                <w:ilvl w:val="0"/>
                <w:numId w:val="6"/>
              </w:numPr>
              <w:overflowPunct w:val="0"/>
              <w:autoSpaceDE w:val="0"/>
              <w:autoSpaceDN w:val="0"/>
              <w:adjustRightInd w:val="0"/>
              <w:snapToGrid w:val="0"/>
              <w:spacing w:after="120"/>
              <w:textAlignment w:val="baseline"/>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Further discuss how to define requirements based on the available simulation results.</w:t>
            </w:r>
          </w:p>
          <w:p w14:paraId="12489E65">
            <w:pPr>
              <w:autoSpaceDE w:val="0"/>
              <w:autoSpaceDN w:val="0"/>
              <w:adjustRightInd w:val="0"/>
              <w:snapToGrid w:val="0"/>
              <w:spacing w:before="120" w:beforeLines="50" w:after="0"/>
              <w:jc w:val="both"/>
              <w:rPr>
                <w:rFonts w:hint="default" w:ascii="Times New Roman" w:hAnsi="Times New Roman" w:cs="Times New Roman"/>
                <w:iCs/>
                <w:color w:val="auto"/>
                <w:sz w:val="20"/>
                <w:szCs w:val="20"/>
                <w:highlight w:val="none"/>
                <w:lang w:val="en-GB"/>
              </w:rPr>
            </w:pPr>
          </w:p>
          <w:p w14:paraId="71197E38">
            <w:pPr>
              <w:overflowPunct w:val="0"/>
              <w:autoSpaceDE w:val="0"/>
              <w:autoSpaceDN w:val="0"/>
              <w:adjustRightInd w:val="0"/>
              <w:snapToGrid w:val="0"/>
              <w:spacing w:after="120"/>
              <w:textAlignment w:val="baseline"/>
              <w:rPr>
                <w:rFonts w:hint="default" w:ascii="Times New Roman" w:hAnsi="Times New Roman" w:cs="Times New Roman"/>
                <w:b/>
                <w:bCs/>
                <w:iCs/>
                <w:color w:val="auto"/>
                <w:sz w:val="20"/>
                <w:szCs w:val="20"/>
                <w:highlight w:val="none"/>
                <w:u w:val="single"/>
                <w:lang w:val="en-GB" w:eastAsia="zh-CN"/>
              </w:rPr>
            </w:pPr>
            <w:r>
              <w:rPr>
                <w:rFonts w:hint="default" w:ascii="Times New Roman" w:hAnsi="Times New Roman" w:cs="Times New Roman"/>
                <w:b/>
                <w:bCs/>
                <w:iCs/>
                <w:color w:val="auto"/>
                <w:sz w:val="20"/>
                <w:szCs w:val="20"/>
                <w:highlight w:val="none"/>
                <w:u w:val="single"/>
                <w:lang w:val="en-GB" w:eastAsia="zh-CN"/>
              </w:rPr>
              <w:t xml:space="preserve">Ad-hoc agreements on Thursday: </w:t>
            </w:r>
          </w:p>
          <w:p w14:paraId="7A0C2333">
            <w:pPr>
              <w:snapToGrid w:val="0"/>
              <w:spacing w:after="120"/>
              <w:rPr>
                <w:rFonts w:hint="default" w:ascii="Times New Roman" w:hAnsi="Times New Roman" w:eastAsia="等线" w:cs="Times New Roman"/>
                <w:iCs/>
                <w:color w:val="auto"/>
                <w:sz w:val="20"/>
                <w:szCs w:val="20"/>
                <w:highlight w:val="none"/>
              </w:rPr>
            </w:pPr>
            <w:r>
              <w:rPr>
                <w:rFonts w:hint="default" w:ascii="Times New Roman" w:hAnsi="Times New Roman" w:eastAsia="等线" w:cs="Times New Roman"/>
                <w:iCs/>
                <w:color w:val="auto"/>
                <w:sz w:val="20"/>
                <w:szCs w:val="20"/>
                <w:highlight w:val="none"/>
              </w:rPr>
              <w:t>Agreement: As starting point, evaluate</w:t>
            </w:r>
            <w:r>
              <w:rPr>
                <w:rFonts w:hint="default" w:ascii="Times New Roman" w:hAnsi="Times New Roman" w:eastAsia="Malgun Gothic" w:cs="Times New Roman"/>
                <w:color w:val="auto"/>
                <w:sz w:val="20"/>
                <w:szCs w:val="20"/>
                <w:highlight w:val="none"/>
              </w:rPr>
              <w:t xml:space="preserve"> non-cluster (single-cell input and single-cell output) approach for frequency domain prediction as baseline.</w:t>
            </w:r>
          </w:p>
          <w:p w14:paraId="3EAF5B48">
            <w:pPr>
              <w:numPr>
                <w:ilvl w:val="1"/>
                <w:numId w:val="6"/>
              </w:numPr>
              <w:overflowPunct w:val="0"/>
              <w:autoSpaceDE w:val="0"/>
              <w:autoSpaceDN w:val="0"/>
              <w:adjustRightInd w:val="0"/>
              <w:spacing w:after="120"/>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 xml:space="preserve">Interested companies can also provide results for </w:t>
            </w:r>
            <w:r>
              <w:rPr>
                <w:rFonts w:hint="default" w:ascii="Times New Roman" w:hAnsi="Times New Roman" w:eastAsia="Malgun Gothic" w:cs="Times New Roman"/>
                <w:color w:val="auto"/>
                <w:sz w:val="20"/>
                <w:szCs w:val="20"/>
                <w:highlight w:val="none"/>
              </w:rPr>
              <w:t>cluster approach</w:t>
            </w:r>
            <w:r>
              <w:rPr>
                <w:rFonts w:hint="default" w:ascii="Times New Roman" w:hAnsi="Times New Roman" w:eastAsia="等线" w:cs="Times New Roman"/>
                <w:color w:val="auto"/>
                <w:sz w:val="20"/>
                <w:szCs w:val="20"/>
                <w:highlight w:val="none"/>
              </w:rPr>
              <w:t>. Further discuss the detailed simulation assumptions.</w:t>
            </w:r>
          </w:p>
          <w:p w14:paraId="061E063B">
            <w:pPr>
              <w:numPr>
                <w:ilvl w:val="1"/>
                <w:numId w:val="6"/>
              </w:numPr>
              <w:overflowPunct w:val="0"/>
              <w:autoSpaceDE w:val="0"/>
              <w:autoSpaceDN w:val="0"/>
              <w:adjustRightInd w:val="0"/>
              <w:spacing w:after="120"/>
              <w:rPr>
                <w:rFonts w:hint="default" w:ascii="Times New Roman" w:hAnsi="Times New Roman" w:eastAsia="等线" w:cs="Times New Roman"/>
                <w:iCs/>
                <w:color w:val="auto"/>
                <w:sz w:val="20"/>
                <w:szCs w:val="20"/>
                <w:highlight w:val="none"/>
              </w:rPr>
            </w:pPr>
            <w:r>
              <w:rPr>
                <w:rFonts w:hint="default" w:ascii="Times New Roman" w:hAnsi="Times New Roman" w:eastAsia="等线" w:cs="Times New Roman"/>
                <w:color w:val="auto"/>
                <w:sz w:val="20"/>
                <w:szCs w:val="20"/>
                <w:highlight w:val="none"/>
              </w:rPr>
              <w:t>Further discuss how to define requirements based on the available simulation results.</w:t>
            </w:r>
          </w:p>
          <w:p w14:paraId="119E872B">
            <w:pPr>
              <w:spacing w:before="120" w:beforeLines="50" w:after="0"/>
              <w:rPr>
                <w:rFonts w:hint="default" w:ascii="Times New Roman" w:hAnsi="Times New Roman" w:cs="Times New Roman"/>
                <w:b/>
                <w:bCs/>
                <w:color w:val="auto"/>
                <w:sz w:val="20"/>
                <w:szCs w:val="20"/>
                <w:highlight w:val="none"/>
                <w:lang w:eastAsia="zh-CN"/>
              </w:rPr>
            </w:pPr>
            <w:r>
              <w:rPr>
                <w:rFonts w:hint="default" w:ascii="Times New Roman" w:hAnsi="Times New Roman" w:cs="Times New Roman"/>
                <w:b/>
                <w:bCs/>
                <w:color w:val="auto"/>
                <w:sz w:val="20"/>
                <w:szCs w:val="20"/>
                <w:highlight w:val="none"/>
                <w:lang w:eastAsia="zh-CN"/>
              </w:rPr>
              <w:t xml:space="preserve">Way forward: </w:t>
            </w:r>
          </w:p>
          <w:p w14:paraId="09B441EF">
            <w:pPr>
              <w:pStyle w:val="13"/>
              <w:numPr>
                <w:ilvl w:val="0"/>
                <w:numId w:val="7"/>
              </w:numPr>
              <w:snapToGrid w:val="0"/>
              <w:spacing w:before="120" w:beforeLines="50" w:after="0"/>
              <w:ind w:firstLineChars="0"/>
              <w:jc w:val="both"/>
              <w:rPr>
                <w:rFonts w:hint="default" w:ascii="Times New Roman" w:hAnsi="Times New Roman" w:cs="Times New Roman"/>
                <w:iCs/>
                <w:color w:val="auto"/>
                <w:sz w:val="20"/>
                <w:szCs w:val="20"/>
                <w:highlight w:val="none"/>
                <w:lang w:val="en-GB" w:eastAsia="zh-CN"/>
              </w:rPr>
            </w:pPr>
            <w:r>
              <w:rPr>
                <w:rFonts w:hint="default" w:ascii="Times New Roman" w:hAnsi="Times New Roman" w:cs="Times New Roman"/>
                <w:iCs/>
                <w:color w:val="auto"/>
                <w:sz w:val="20"/>
                <w:szCs w:val="20"/>
                <w:highlight w:val="none"/>
                <w:lang w:val="en-GB" w:eastAsia="zh-CN"/>
              </w:rPr>
              <w:t xml:space="preserve">Consider the following frequency pairs as baseline for frequency domain prediction evaluation. </w:t>
            </w:r>
          </w:p>
          <w:p w14:paraId="635221F9">
            <w:pPr>
              <w:pStyle w:val="13"/>
              <w:numPr>
                <w:ilvl w:val="1"/>
                <w:numId w:val="8"/>
              </w:numPr>
              <w:snapToGrid w:val="0"/>
              <w:spacing w:before="120" w:beforeLines="50" w:after="0"/>
              <w:ind w:firstLineChars="0"/>
              <w:jc w:val="both"/>
              <w:rPr>
                <w:rFonts w:hint="default" w:ascii="Times New Roman" w:hAnsi="Times New Roman" w:cs="Times New Roman"/>
                <w:iCs/>
                <w:color w:val="auto"/>
                <w:sz w:val="20"/>
                <w:szCs w:val="20"/>
                <w:highlight w:val="none"/>
                <w:lang w:val="en-GB" w:eastAsia="zh-CN"/>
              </w:rPr>
            </w:pPr>
            <w:r>
              <w:rPr>
                <w:rFonts w:hint="default" w:ascii="Times New Roman" w:hAnsi="Times New Roman" w:cs="Times New Roman"/>
                <w:iCs/>
                <w:color w:val="auto"/>
                <w:sz w:val="20"/>
                <w:szCs w:val="20"/>
                <w:highlight w:val="none"/>
                <w:lang w:val="en-GB" w:eastAsia="zh-CN"/>
              </w:rPr>
              <w:t xml:space="preserve">Candidate option 1: UE use the measurement on 2GHz to predict 4GHz. </w:t>
            </w:r>
          </w:p>
          <w:p w14:paraId="60EE377B">
            <w:pPr>
              <w:pStyle w:val="13"/>
              <w:numPr>
                <w:ilvl w:val="1"/>
                <w:numId w:val="8"/>
              </w:numPr>
              <w:snapToGrid w:val="0"/>
              <w:spacing w:before="120" w:beforeLines="50" w:after="0"/>
              <w:ind w:firstLineChars="0"/>
              <w:jc w:val="both"/>
              <w:rPr>
                <w:rFonts w:hint="default" w:ascii="Times New Roman" w:hAnsi="Times New Roman" w:cs="Times New Roman"/>
                <w:iCs/>
                <w:color w:val="auto"/>
                <w:sz w:val="20"/>
                <w:szCs w:val="20"/>
                <w:highlight w:val="none"/>
                <w:lang w:val="en-GB" w:eastAsia="zh-CN"/>
              </w:rPr>
            </w:pPr>
            <w:r>
              <w:rPr>
                <w:rFonts w:hint="default" w:ascii="Times New Roman" w:hAnsi="Times New Roman" w:cs="Times New Roman"/>
                <w:iCs/>
                <w:color w:val="auto"/>
                <w:sz w:val="20"/>
                <w:szCs w:val="20"/>
                <w:highlight w:val="none"/>
                <w:lang w:val="en-GB" w:eastAsia="zh-CN"/>
              </w:rPr>
              <w:t xml:space="preserve">Candidate option 2: UE use the measurement on 1.8GHz to predict 3.5GHz. </w:t>
            </w:r>
          </w:p>
          <w:p w14:paraId="2DD34459">
            <w:pPr>
              <w:pStyle w:val="13"/>
              <w:numPr>
                <w:ilvl w:val="1"/>
                <w:numId w:val="8"/>
              </w:numPr>
              <w:snapToGrid w:val="0"/>
              <w:spacing w:before="120" w:beforeLines="50" w:after="0"/>
              <w:ind w:firstLineChars="0"/>
              <w:jc w:val="both"/>
              <w:rPr>
                <w:rFonts w:hint="default" w:ascii="Times New Roman" w:hAnsi="Times New Roman" w:cs="Times New Roman"/>
                <w:iCs/>
                <w:color w:val="auto"/>
                <w:sz w:val="20"/>
                <w:szCs w:val="20"/>
                <w:highlight w:val="none"/>
                <w:lang w:val="en-GB" w:eastAsia="zh-CN"/>
              </w:rPr>
            </w:pPr>
            <w:r>
              <w:rPr>
                <w:rFonts w:hint="default" w:ascii="Times New Roman" w:hAnsi="Times New Roman" w:cs="Times New Roman"/>
                <w:iCs/>
                <w:color w:val="auto"/>
                <w:sz w:val="20"/>
                <w:szCs w:val="20"/>
                <w:highlight w:val="none"/>
                <w:lang w:val="en-GB" w:eastAsia="zh-CN"/>
              </w:rPr>
              <w:t xml:space="preserve">Candidate option 3: UE use the measurement on 1.8GHz to predict 2.1GHz. </w:t>
            </w:r>
          </w:p>
          <w:p w14:paraId="1CF1DBEE">
            <w:pPr>
              <w:pStyle w:val="13"/>
              <w:numPr>
                <w:ilvl w:val="1"/>
                <w:numId w:val="8"/>
              </w:numPr>
              <w:snapToGrid w:val="0"/>
              <w:spacing w:before="120" w:beforeLines="50" w:after="120" w:afterLines="50"/>
              <w:ind w:firstLineChars="0"/>
              <w:jc w:val="both"/>
              <w:rPr>
                <w:rFonts w:hint="default" w:ascii="Times New Roman" w:hAnsi="Times New Roman" w:cs="Times New Roman"/>
                <w:iCs/>
                <w:color w:val="auto"/>
                <w:sz w:val="20"/>
                <w:szCs w:val="20"/>
                <w:highlight w:val="none"/>
                <w:lang w:val="en-GB" w:eastAsia="zh-CN"/>
              </w:rPr>
            </w:pPr>
            <w:r>
              <w:rPr>
                <w:rFonts w:hint="default" w:ascii="Times New Roman" w:hAnsi="Times New Roman" w:cs="Times New Roman" w:eastAsiaTheme="minorEastAsia"/>
                <w:iCs/>
                <w:color w:val="auto"/>
                <w:sz w:val="20"/>
                <w:szCs w:val="20"/>
                <w:highlight w:val="none"/>
                <w:lang w:val="en-GB" w:eastAsia="zh-CN"/>
              </w:rPr>
              <w:t xml:space="preserve">Other options are not precluded. </w:t>
            </w:r>
          </w:p>
          <w:p w14:paraId="17925490">
            <w:pPr>
              <w:pStyle w:val="13"/>
              <w:numPr>
                <w:ilvl w:val="0"/>
                <w:numId w:val="7"/>
              </w:numPr>
              <w:ind w:firstLineChars="0"/>
              <w:rPr>
                <w:rFonts w:hint="default" w:ascii="Times New Roman" w:hAnsi="Times New Roman" w:eastAsia="等线" w:cs="Times New Roman"/>
                <w:color w:val="auto"/>
                <w:sz w:val="20"/>
                <w:szCs w:val="20"/>
                <w:highlight w:val="none"/>
              </w:rPr>
            </w:pPr>
            <w:r>
              <w:rPr>
                <w:rFonts w:hint="default" w:ascii="Times New Roman" w:hAnsi="Times New Roman" w:eastAsia="等线" w:cs="Times New Roman"/>
                <w:color w:val="auto"/>
                <w:sz w:val="20"/>
                <w:szCs w:val="20"/>
                <w:highlight w:val="none"/>
              </w:rPr>
              <w:t>Further discuss how to define requirements based on the available simulation results.</w:t>
            </w:r>
          </w:p>
          <w:p w14:paraId="3C7B7DA3">
            <w:pPr>
              <w:spacing w:after="180" w:line="240" w:lineRule="exact"/>
              <w:rPr>
                <w:rFonts w:hint="default" w:ascii="Times New Roman" w:hAnsi="Times New Roman" w:eastAsia="等线" w:cs="Times New Roman"/>
                <w:bCs/>
                <w:iCs/>
                <w:color w:val="auto"/>
                <w:sz w:val="20"/>
                <w:szCs w:val="20"/>
                <w:highlight w:val="none"/>
                <w:vertAlign w:val="baseline"/>
                <w:lang w:val="en-US" w:eastAsia="zh-CN"/>
              </w:rPr>
            </w:pPr>
          </w:p>
        </w:tc>
      </w:tr>
    </w:tbl>
    <w:p w14:paraId="03BDE2FF">
      <w:pPr>
        <w:spacing w:after="180" w:line="240" w:lineRule="exact"/>
        <w:rPr>
          <w:rFonts w:hint="default" w:ascii="Times New Roman" w:hAnsi="Times New Roman" w:eastAsia="等线"/>
          <w:bCs/>
          <w:iCs/>
          <w:sz w:val="20"/>
          <w:szCs w:val="20"/>
          <w:lang w:val="en-US" w:eastAsia="zh-CN"/>
        </w:rPr>
      </w:pPr>
    </w:p>
    <w:p w14:paraId="542D6F5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FFS is frequency pairs for frequency domain prediction evaluation. Frequency domain prediction focus on co-located case. In practical, most likely, 2.6GHz and 4.9GHz are deployed in co-located manner. It is preferred to use the frequency pair of 2.6GHz and4.9GHz, i.e. </w:t>
      </w:r>
      <w:r>
        <w:rPr>
          <w:rFonts w:hint="default" w:ascii="Times New Roman" w:hAnsi="Times New Roman" w:cs="Times New Roman"/>
          <w:iCs/>
          <w:color w:val="auto"/>
          <w:sz w:val="20"/>
          <w:szCs w:val="20"/>
          <w:highlight w:val="none"/>
          <w:lang w:val="en-GB" w:eastAsia="zh-CN"/>
        </w:rPr>
        <w:t>UE use the measurement on 2</w:t>
      </w:r>
      <w:r>
        <w:rPr>
          <w:rFonts w:hint="eastAsia" w:ascii="Times New Roman" w:hAnsi="Times New Roman" w:cs="Times New Roman"/>
          <w:iCs/>
          <w:color w:val="auto"/>
          <w:sz w:val="20"/>
          <w:szCs w:val="20"/>
          <w:highlight w:val="none"/>
          <w:lang w:val="en-US" w:eastAsia="zh-CN"/>
        </w:rPr>
        <w:t>.6</w:t>
      </w:r>
      <w:r>
        <w:rPr>
          <w:rFonts w:hint="default" w:ascii="Times New Roman" w:hAnsi="Times New Roman" w:cs="Times New Roman"/>
          <w:iCs/>
          <w:color w:val="auto"/>
          <w:sz w:val="20"/>
          <w:szCs w:val="20"/>
          <w:highlight w:val="none"/>
          <w:lang w:val="en-GB" w:eastAsia="zh-CN"/>
        </w:rPr>
        <w:t>GHz to predict 4</w:t>
      </w:r>
      <w:r>
        <w:rPr>
          <w:rFonts w:hint="eastAsia" w:ascii="Times New Roman" w:hAnsi="Times New Roman" w:cs="Times New Roman"/>
          <w:iCs/>
          <w:color w:val="auto"/>
          <w:sz w:val="20"/>
          <w:szCs w:val="20"/>
          <w:highlight w:val="none"/>
          <w:lang w:val="en-US" w:eastAsia="zh-CN"/>
        </w:rPr>
        <w:t>.9</w:t>
      </w:r>
      <w:r>
        <w:rPr>
          <w:rFonts w:hint="default" w:ascii="Times New Roman" w:hAnsi="Times New Roman" w:cs="Times New Roman"/>
          <w:iCs/>
          <w:color w:val="auto"/>
          <w:sz w:val="20"/>
          <w:szCs w:val="20"/>
          <w:highlight w:val="none"/>
          <w:lang w:val="en-GB" w:eastAsia="zh-CN"/>
        </w:rPr>
        <w:t>GHz.</w:t>
      </w:r>
      <w:r>
        <w:rPr>
          <w:rFonts w:hint="eastAsia" w:ascii="Times New Roman" w:hAnsi="Times New Roman" w:eastAsia="等线"/>
          <w:bCs/>
          <w:iCs/>
          <w:sz w:val="20"/>
          <w:szCs w:val="20"/>
          <w:lang w:val="en-US" w:eastAsia="zh-CN"/>
        </w:rPr>
        <w:t xml:space="preserve">    </w:t>
      </w:r>
    </w:p>
    <w:p w14:paraId="493CC65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w:t>
      </w:r>
      <w:r>
        <w:rPr>
          <w:rFonts w:hint="default" w:ascii="Times New Roman" w:hAnsi="Times New Roman" w:cs="Times New Roman"/>
          <w:b/>
          <w:bCs w:val="0"/>
          <w:i/>
          <w:iCs w:val="0"/>
          <w:color w:val="auto"/>
          <w:sz w:val="20"/>
          <w:szCs w:val="20"/>
          <w:highlight w:val="none"/>
          <w:lang w:val="en-GB" w:eastAsia="zh-CN"/>
        </w:rPr>
        <w:t xml:space="preserve"> for frequency domain prediction evaluation</w:t>
      </w:r>
      <w:r>
        <w:rPr>
          <w:rFonts w:hint="eastAsia" w:ascii="Times New Roman" w:hAnsi="Times New Roman" w:cs="Times New Roman"/>
          <w:b/>
          <w:bCs w:val="0"/>
          <w:i/>
          <w:iCs w:val="0"/>
          <w:color w:val="auto"/>
          <w:sz w:val="20"/>
          <w:szCs w:val="20"/>
          <w:highlight w:val="none"/>
          <w:lang w:val="en-US" w:eastAsia="zh-CN"/>
        </w:rPr>
        <w:t xml:space="preserve">, it is proposed to </w:t>
      </w:r>
      <w:r>
        <w:rPr>
          <w:rFonts w:hint="default" w:ascii="Times New Roman" w:hAnsi="Times New Roman" w:cs="Times New Roman"/>
          <w:b/>
          <w:bCs w:val="0"/>
          <w:i/>
          <w:iCs w:val="0"/>
          <w:color w:val="auto"/>
          <w:sz w:val="20"/>
          <w:szCs w:val="20"/>
          <w:highlight w:val="none"/>
          <w:lang w:val="en-GB" w:eastAsia="zh-CN"/>
        </w:rPr>
        <w:t>use the measurement on 2</w:t>
      </w:r>
      <w:r>
        <w:rPr>
          <w:rFonts w:hint="eastAsia" w:ascii="Times New Roman" w:hAnsi="Times New Roman" w:cs="Times New Roman"/>
          <w:b/>
          <w:bCs w:val="0"/>
          <w:i/>
          <w:iCs w:val="0"/>
          <w:color w:val="auto"/>
          <w:sz w:val="20"/>
          <w:szCs w:val="20"/>
          <w:highlight w:val="none"/>
          <w:lang w:val="en-US" w:eastAsia="zh-CN"/>
        </w:rPr>
        <w:t>.6</w:t>
      </w:r>
      <w:r>
        <w:rPr>
          <w:rFonts w:hint="default" w:ascii="Times New Roman" w:hAnsi="Times New Roman" w:cs="Times New Roman"/>
          <w:b/>
          <w:bCs w:val="0"/>
          <w:i/>
          <w:iCs w:val="0"/>
          <w:color w:val="auto"/>
          <w:sz w:val="20"/>
          <w:szCs w:val="20"/>
          <w:highlight w:val="none"/>
          <w:lang w:val="en-GB" w:eastAsia="zh-CN"/>
        </w:rPr>
        <w:t>GHz to predict 4</w:t>
      </w:r>
      <w:r>
        <w:rPr>
          <w:rFonts w:hint="eastAsia" w:ascii="Times New Roman" w:hAnsi="Times New Roman" w:cs="Times New Roman"/>
          <w:b/>
          <w:bCs w:val="0"/>
          <w:i/>
          <w:iCs w:val="0"/>
          <w:color w:val="auto"/>
          <w:sz w:val="20"/>
          <w:szCs w:val="20"/>
          <w:highlight w:val="none"/>
          <w:lang w:val="en-US" w:eastAsia="zh-CN"/>
        </w:rPr>
        <w:t>.9</w:t>
      </w:r>
      <w:r>
        <w:rPr>
          <w:rFonts w:hint="default" w:ascii="Times New Roman" w:hAnsi="Times New Roman" w:cs="Times New Roman"/>
          <w:b/>
          <w:bCs w:val="0"/>
          <w:i/>
          <w:iCs w:val="0"/>
          <w:color w:val="auto"/>
          <w:sz w:val="20"/>
          <w:szCs w:val="20"/>
          <w:highlight w:val="none"/>
          <w:lang w:val="en-GB" w:eastAsia="zh-CN"/>
        </w:rPr>
        <w:t>GHz.</w:t>
      </w:r>
    </w:p>
    <w:p w14:paraId="1C98A7D8">
      <w:pPr>
        <w:spacing w:after="180" w:line="240" w:lineRule="exact"/>
        <w:rPr>
          <w:rFonts w:hint="default" w:ascii="Times New Roman" w:hAnsi="Times New Roman" w:eastAsia="等线"/>
          <w:bCs/>
          <w:iCs/>
          <w:sz w:val="20"/>
          <w:szCs w:val="20"/>
          <w:lang w:val="en-US" w:eastAsia="zh-CN"/>
        </w:rPr>
      </w:pP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eastAsia="宋体"/>
          <w:sz w:val="20"/>
          <w:szCs w:val="20"/>
        </w:rPr>
        <w:t>. The proposals are:</w:t>
      </w:r>
    </w:p>
    <w:p w14:paraId="601CC89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
          <w:bCs w:val="0"/>
          <w:i/>
          <w:iCs w:val="0"/>
          <w:sz w:val="20"/>
          <w:szCs w:val="20"/>
          <w:highlight w:val="none"/>
          <w:u w:val="none"/>
          <w:lang w:val="en-US" w:eastAsia="zh-CN"/>
        </w:rPr>
      </w:pPr>
      <w:r>
        <w:rPr>
          <w:rFonts w:hint="default" w:ascii="Times New Roman" w:hAnsi="Times New Roman" w:eastAsia="等线" w:cs="Times New Roman"/>
          <w:b/>
          <w:bCs w:val="0"/>
          <w:i/>
          <w:iCs w:val="0"/>
          <w:sz w:val="20"/>
          <w:szCs w:val="20"/>
          <w:highlight w:val="none"/>
          <w:u w:val="none"/>
          <w:lang w:val="en-US" w:eastAsia="zh-CN"/>
        </w:rPr>
        <w:t>Proposal 1: for frequency domain prediction, it is proposed that RAN4 focus on F</w:t>
      </w:r>
      <w:r>
        <w:rPr>
          <w:rFonts w:hint="default" w:ascii="Times New Roman" w:hAnsi="Times New Roman" w:eastAsia="Malgun Gothic" w:cs="Times New Roman"/>
          <w:b/>
          <w:bCs w:val="0"/>
          <w:i/>
          <w:iCs w:val="0"/>
          <w:sz w:val="20"/>
          <w:szCs w:val="20"/>
          <w:highlight w:val="none"/>
          <w:u w:val="none"/>
        </w:rPr>
        <w:t>R1 to FR1 inter-frequency co-located case</w:t>
      </w:r>
      <w:r>
        <w:rPr>
          <w:rFonts w:hint="default" w:ascii="Times New Roman" w:hAnsi="Times New Roman" w:eastAsia="宋体" w:cs="Times New Roman"/>
          <w:b/>
          <w:bCs w:val="0"/>
          <w:i/>
          <w:iCs w:val="0"/>
          <w:sz w:val="20"/>
          <w:szCs w:val="20"/>
          <w:highlight w:val="none"/>
          <w:u w:val="none"/>
          <w:lang w:val="en-US" w:eastAsia="zh-CN"/>
        </w:rPr>
        <w:t xml:space="preserve">, and not consider </w:t>
      </w:r>
      <w:r>
        <w:rPr>
          <w:rFonts w:hint="default" w:ascii="Times New Roman" w:hAnsi="Times New Roman" w:eastAsia="等线" w:cs="Times New Roman"/>
          <w:b/>
          <w:bCs w:val="0"/>
          <w:i/>
          <w:iCs w:val="0"/>
          <w:sz w:val="20"/>
          <w:szCs w:val="20"/>
          <w:highlight w:val="none"/>
          <w:u w:val="none"/>
          <w:lang w:val="en-US" w:eastAsia="zh-CN"/>
        </w:rPr>
        <w:t>FR2 to FR2 inter-frequency co-located case in Rel-20.</w:t>
      </w:r>
    </w:p>
    <w:p w14:paraId="295FB2C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w:t>
      </w:r>
      <w:r>
        <w:rPr>
          <w:rFonts w:hint="default" w:ascii="Times New Roman" w:hAnsi="Times New Roman" w:cs="Times New Roman"/>
          <w:b/>
          <w:bCs w:val="0"/>
          <w:i/>
          <w:iCs w:val="0"/>
          <w:color w:val="auto"/>
          <w:sz w:val="20"/>
          <w:szCs w:val="20"/>
          <w:highlight w:val="none"/>
          <w:lang w:val="en-GB" w:eastAsia="zh-CN"/>
        </w:rPr>
        <w:t xml:space="preserve"> for frequency domain prediction evaluation</w:t>
      </w:r>
      <w:r>
        <w:rPr>
          <w:rFonts w:hint="eastAsia" w:ascii="Times New Roman" w:hAnsi="Times New Roman" w:cs="Times New Roman"/>
          <w:b/>
          <w:bCs w:val="0"/>
          <w:i/>
          <w:iCs w:val="0"/>
          <w:color w:val="auto"/>
          <w:sz w:val="20"/>
          <w:szCs w:val="20"/>
          <w:highlight w:val="none"/>
          <w:lang w:val="en-US" w:eastAsia="zh-CN"/>
        </w:rPr>
        <w:t xml:space="preserve">, it is proposed to </w:t>
      </w:r>
      <w:r>
        <w:rPr>
          <w:rFonts w:hint="default" w:ascii="Times New Roman" w:hAnsi="Times New Roman" w:cs="Times New Roman"/>
          <w:b/>
          <w:bCs w:val="0"/>
          <w:i/>
          <w:iCs w:val="0"/>
          <w:color w:val="auto"/>
          <w:sz w:val="20"/>
          <w:szCs w:val="20"/>
          <w:highlight w:val="none"/>
          <w:lang w:val="en-GB" w:eastAsia="zh-CN"/>
        </w:rPr>
        <w:t>use the measurement on 2</w:t>
      </w:r>
      <w:r>
        <w:rPr>
          <w:rFonts w:hint="eastAsia" w:ascii="Times New Roman" w:hAnsi="Times New Roman" w:cs="Times New Roman"/>
          <w:b/>
          <w:bCs w:val="0"/>
          <w:i/>
          <w:iCs w:val="0"/>
          <w:color w:val="auto"/>
          <w:sz w:val="20"/>
          <w:szCs w:val="20"/>
          <w:highlight w:val="none"/>
          <w:lang w:val="en-US" w:eastAsia="zh-CN"/>
        </w:rPr>
        <w:t>.6</w:t>
      </w:r>
      <w:r>
        <w:rPr>
          <w:rFonts w:hint="default" w:ascii="Times New Roman" w:hAnsi="Times New Roman" w:cs="Times New Roman"/>
          <w:b/>
          <w:bCs w:val="0"/>
          <w:i/>
          <w:iCs w:val="0"/>
          <w:color w:val="auto"/>
          <w:sz w:val="20"/>
          <w:szCs w:val="20"/>
          <w:highlight w:val="none"/>
          <w:lang w:val="en-GB" w:eastAsia="zh-CN"/>
        </w:rPr>
        <w:t>GHz to predict 4</w:t>
      </w:r>
      <w:r>
        <w:rPr>
          <w:rFonts w:hint="eastAsia" w:ascii="Times New Roman" w:hAnsi="Times New Roman" w:cs="Times New Roman"/>
          <w:b/>
          <w:bCs w:val="0"/>
          <w:i/>
          <w:iCs w:val="0"/>
          <w:color w:val="auto"/>
          <w:sz w:val="20"/>
          <w:szCs w:val="20"/>
          <w:highlight w:val="none"/>
          <w:lang w:val="en-US" w:eastAsia="zh-CN"/>
        </w:rPr>
        <w:t>.9</w:t>
      </w:r>
      <w:r>
        <w:rPr>
          <w:rFonts w:hint="default" w:ascii="Times New Roman" w:hAnsi="Times New Roman" w:cs="Times New Roman"/>
          <w:b/>
          <w:bCs w:val="0"/>
          <w:i/>
          <w:iCs w:val="0"/>
          <w:color w:val="auto"/>
          <w:sz w:val="20"/>
          <w:szCs w:val="20"/>
          <w:highlight w:val="none"/>
          <w:lang w:val="en-GB" w:eastAsia="zh-CN"/>
        </w:rPr>
        <w:t>GHz.</w:t>
      </w:r>
    </w:p>
    <w:p w14:paraId="2E20B370">
      <w:pPr>
        <w:tabs>
          <w:tab w:val="left" w:pos="1134"/>
        </w:tabs>
        <w:spacing w:after="180" w:line="240" w:lineRule="exact"/>
        <w:rPr>
          <w:rFonts w:hint="eastAsia" w:ascii="Times New Roman" w:hAnsi="Times New Roman" w:eastAsia="宋体"/>
          <w:sz w:val="20"/>
          <w:szCs w:val="20"/>
        </w:rPr>
      </w:pPr>
      <w:bookmarkStart w:id="8" w:name="_GoBack"/>
      <w:bookmarkEnd w:id="8"/>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7F4C2FCA">
      <w:pPr>
        <w:pStyle w:val="14"/>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3EAD4D4A">
      <w:pPr>
        <w:pStyle w:val="14"/>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6ED00003"/>
    <w:multiLevelType w:val="multilevel"/>
    <w:tmpl w:val="6ED000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8">
    <w:nsid w:val="7E584D80"/>
    <w:multiLevelType w:val="multilevel"/>
    <w:tmpl w:val="7E584D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5"/>
  </w:num>
  <w:num w:numId="3">
    <w:abstractNumId w:val="3"/>
  </w:num>
  <w:num w:numId="4">
    <w:abstractNumId w:val="1"/>
  </w:num>
  <w:num w:numId="5">
    <w:abstractNumId w:val="7"/>
  </w:num>
  <w:num w:numId="6">
    <w:abstractNumId w:val="2"/>
  </w:num>
  <w:num w:numId="7">
    <w:abstractNumId w:val="4"/>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30F42DA"/>
    <w:rsid w:val="039B37C7"/>
    <w:rsid w:val="03B64756"/>
    <w:rsid w:val="05581271"/>
    <w:rsid w:val="05611098"/>
    <w:rsid w:val="05697CEB"/>
    <w:rsid w:val="0659725C"/>
    <w:rsid w:val="08320503"/>
    <w:rsid w:val="095F3199"/>
    <w:rsid w:val="09956AAF"/>
    <w:rsid w:val="0A632019"/>
    <w:rsid w:val="0AB2039C"/>
    <w:rsid w:val="0B8B7488"/>
    <w:rsid w:val="0DF05B97"/>
    <w:rsid w:val="0E3634E0"/>
    <w:rsid w:val="0F6C5EA4"/>
    <w:rsid w:val="11144517"/>
    <w:rsid w:val="12E4180D"/>
    <w:rsid w:val="135132D0"/>
    <w:rsid w:val="13BE2E36"/>
    <w:rsid w:val="13D33102"/>
    <w:rsid w:val="13E54515"/>
    <w:rsid w:val="154B4C98"/>
    <w:rsid w:val="17C90DC6"/>
    <w:rsid w:val="18A26313"/>
    <w:rsid w:val="192432CE"/>
    <w:rsid w:val="197233CD"/>
    <w:rsid w:val="1A015FF9"/>
    <w:rsid w:val="1A785BF5"/>
    <w:rsid w:val="1BC2025D"/>
    <w:rsid w:val="1D2B4603"/>
    <w:rsid w:val="1E262080"/>
    <w:rsid w:val="1EA13FCF"/>
    <w:rsid w:val="1F4E59E8"/>
    <w:rsid w:val="208B1571"/>
    <w:rsid w:val="20A67B9D"/>
    <w:rsid w:val="219168A1"/>
    <w:rsid w:val="21A73AF8"/>
    <w:rsid w:val="21B75A90"/>
    <w:rsid w:val="21F229A5"/>
    <w:rsid w:val="22F84732"/>
    <w:rsid w:val="29521D5A"/>
    <w:rsid w:val="296A6325"/>
    <w:rsid w:val="2979101D"/>
    <w:rsid w:val="2A8275BB"/>
    <w:rsid w:val="2B692490"/>
    <w:rsid w:val="2BAD0C2F"/>
    <w:rsid w:val="2C811A52"/>
    <w:rsid w:val="2D092D6F"/>
    <w:rsid w:val="2DCC054E"/>
    <w:rsid w:val="2EFF4953"/>
    <w:rsid w:val="2FED1FC2"/>
    <w:rsid w:val="305C73A6"/>
    <w:rsid w:val="30DE49BA"/>
    <w:rsid w:val="319B3E73"/>
    <w:rsid w:val="31B53264"/>
    <w:rsid w:val="332C3305"/>
    <w:rsid w:val="3331778D"/>
    <w:rsid w:val="351D1843"/>
    <w:rsid w:val="36CD03FF"/>
    <w:rsid w:val="370D2F60"/>
    <w:rsid w:val="37E312B6"/>
    <w:rsid w:val="38022573"/>
    <w:rsid w:val="3850290E"/>
    <w:rsid w:val="39A706A6"/>
    <w:rsid w:val="3AF811CC"/>
    <w:rsid w:val="3D5A5190"/>
    <w:rsid w:val="3FF257A0"/>
    <w:rsid w:val="40BA0E25"/>
    <w:rsid w:val="41597CC1"/>
    <w:rsid w:val="447F6515"/>
    <w:rsid w:val="44ED5522"/>
    <w:rsid w:val="45251780"/>
    <w:rsid w:val="45822D02"/>
    <w:rsid w:val="47D07441"/>
    <w:rsid w:val="486C7D0F"/>
    <w:rsid w:val="48765EF0"/>
    <w:rsid w:val="48BC1FC7"/>
    <w:rsid w:val="48BD345D"/>
    <w:rsid w:val="48C92824"/>
    <w:rsid w:val="49E62D0A"/>
    <w:rsid w:val="4A924F66"/>
    <w:rsid w:val="4AAA7A11"/>
    <w:rsid w:val="4ADD1BB7"/>
    <w:rsid w:val="4CA21BEA"/>
    <w:rsid w:val="4CB30463"/>
    <w:rsid w:val="4D0F52FA"/>
    <w:rsid w:val="4EED0FC5"/>
    <w:rsid w:val="4F01352B"/>
    <w:rsid w:val="50AC3D18"/>
    <w:rsid w:val="513A24D1"/>
    <w:rsid w:val="517D38BF"/>
    <w:rsid w:val="521A547C"/>
    <w:rsid w:val="53123131"/>
    <w:rsid w:val="539B5A3F"/>
    <w:rsid w:val="56582839"/>
    <w:rsid w:val="5798278D"/>
    <w:rsid w:val="59324E3B"/>
    <w:rsid w:val="595545B4"/>
    <w:rsid w:val="59A65848"/>
    <w:rsid w:val="5AAC5686"/>
    <w:rsid w:val="5C491F27"/>
    <w:rsid w:val="5CF63611"/>
    <w:rsid w:val="5E176D14"/>
    <w:rsid w:val="606210AF"/>
    <w:rsid w:val="606B5DD8"/>
    <w:rsid w:val="617674D6"/>
    <w:rsid w:val="61D06D08"/>
    <w:rsid w:val="61DF3A9F"/>
    <w:rsid w:val="62E74204"/>
    <w:rsid w:val="652470FF"/>
    <w:rsid w:val="676E7F3D"/>
    <w:rsid w:val="67A4673A"/>
    <w:rsid w:val="68706D05"/>
    <w:rsid w:val="6AFE6DF4"/>
    <w:rsid w:val="6B2F50E5"/>
    <w:rsid w:val="6C642F64"/>
    <w:rsid w:val="6D613D4B"/>
    <w:rsid w:val="6D7D0F66"/>
    <w:rsid w:val="6DB122F8"/>
    <w:rsid w:val="6F9F112C"/>
    <w:rsid w:val="710D6E4C"/>
    <w:rsid w:val="71997D14"/>
    <w:rsid w:val="71A82806"/>
    <w:rsid w:val="734C63A4"/>
    <w:rsid w:val="738B299C"/>
    <w:rsid w:val="738F6E24"/>
    <w:rsid w:val="73C17630"/>
    <w:rsid w:val="73F67ACD"/>
    <w:rsid w:val="75A5650E"/>
    <w:rsid w:val="770B4D24"/>
    <w:rsid w:val="77B91A3C"/>
    <w:rsid w:val="77F160D3"/>
    <w:rsid w:val="79670D3F"/>
    <w:rsid w:val="79DA147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CMCC-Jingjing</cp:lastModifiedBy>
  <dcterms:modified xsi:type="dcterms:W3CDTF">2025-11-07T07:41:20Z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